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E5" w:rsidRDefault="009E0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89585" cy="6927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E5" w:rsidRDefault="008103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03E5" w:rsidRDefault="009E08C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PRATO</w:t>
      </w:r>
    </w:p>
    <w:p w:rsidR="008103E5" w:rsidRDefault="008103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03E5" w:rsidRDefault="009E08CA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Servizio Urbanistica, Transizione ecologica e Protezione civile</w:t>
      </w:r>
    </w:p>
    <w:p w:rsidR="008103E5" w:rsidRDefault="008103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03E5" w:rsidRDefault="008103E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</w:pPr>
      <w:r>
        <w:rPr>
          <w:rFonts w:ascii="Times New Roman" w:hAnsi="Times New Roman" w:cs="Times New Roman"/>
        </w:rPr>
        <w:t xml:space="preserve">CONTRATTO PER L’ESECUZIONE DEI LAVORI DI </w:t>
      </w:r>
      <w:r>
        <w:rPr>
          <w:rStyle w:val="testo"/>
          <w:rFonts w:ascii="Times New Roman" w:hAnsi="Times New Roman" w:cs="Times New Roman"/>
          <w:sz w:val="22"/>
        </w:rPr>
        <w:t>FORNITURA E POSA IN OPERA DI NUOVA CARTELLONISTICA PER I GIARDINI PUBBLICI</w:t>
      </w:r>
      <w:r>
        <w:rPr>
          <w:rStyle w:val="testo"/>
          <w:rFonts w:ascii="Times New Roman" w:hAnsi="Times New Roman" w:cs="Times New Roman"/>
          <w:sz w:val="22"/>
        </w:rPr>
        <w:t xml:space="preserve"> </w:t>
      </w:r>
      <w:r>
        <w:rPr>
          <w:rStyle w:val="testo"/>
          <w:rFonts w:ascii="Times New Roman" w:hAnsi="Times New Roman" w:cs="Times New Roman"/>
          <w:sz w:val="22"/>
        </w:rPr>
        <w:t xml:space="preserve">DEL PIANO DEGLI INTERVENTI  DEL VERDE PUBBLICO </w:t>
      </w:r>
    </w:p>
    <w:p w:rsidR="008103E5" w:rsidRDefault="009E08CA">
      <w:pPr>
        <w:spacing w:after="0" w:line="360" w:lineRule="auto"/>
        <w:jc w:val="center"/>
      </w:pPr>
      <w:r>
        <w:rPr>
          <w:rStyle w:val="testo"/>
          <w:rFonts w:ascii="Times New Roman" w:hAnsi="Times New Roman" w:cs="Times New Roman"/>
          <w:sz w:val="22"/>
        </w:rPr>
        <w:t xml:space="preserve"> CUP</w:t>
      </w:r>
      <w:r>
        <w:rPr>
          <w:rStyle w:val="testo"/>
          <w:rFonts w:ascii="Times New Roman" w:hAnsi="Times New Roman" w:cs="Times New Roman"/>
          <w:sz w:val="22"/>
          <w:szCs w:val="24"/>
        </w:rPr>
        <w:t xml:space="preserve"> </w:t>
      </w:r>
      <w:r>
        <w:rPr>
          <w:rStyle w:val="testo"/>
          <w:rFonts w:ascii="Times New Roman" w:hAnsi="Times New Roman" w:cs="Times New Roman"/>
          <w:sz w:val="22"/>
        </w:rPr>
        <w:t xml:space="preserve">C38E23000180004 </w:t>
      </w:r>
    </w:p>
    <w:p w:rsidR="008103E5" w:rsidRDefault="008103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03E5" w:rsidRDefault="009E08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*** *** **</w:t>
      </w:r>
    </w:p>
    <w:p w:rsidR="008103E5" w:rsidRDefault="008103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 xml:space="preserve">L’anno 2023 il giorno xx del mese di ottobre, a Prato, </w:t>
      </w:r>
      <w:r>
        <w:rPr>
          <w:rFonts w:ascii="Times New Roman" w:hAnsi="Times New Roman" w:cs="Times New Roman"/>
          <w:lang w:eastAsia="it-IT"/>
        </w:rPr>
        <w:t xml:space="preserve">con </w:t>
      </w:r>
      <w:r>
        <w:rPr>
          <w:rFonts w:ascii="Times New Roman" w:hAnsi="Times New Roman" w:cs="Times New Roman"/>
        </w:rPr>
        <w:t xml:space="preserve">la presente scrittura privata da tenere e valere ad ogni effetto di legge fra: </w:t>
      </w:r>
    </w:p>
    <w:p w:rsidR="008103E5" w:rsidRDefault="009E08CA">
      <w:pPr>
        <w:tabs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 COMUNE DI PRATO (C.F.  92006300484 – P.IVA 01966170977), rappresentato dalla </w:t>
      </w:r>
      <w:r>
        <w:rPr>
          <w:rFonts w:ascii="Times New Roman" w:hAnsi="Times New Roman" w:cs="Times New Roman"/>
        </w:rPr>
        <w:t xml:space="preserve">Dirigente Responsabile del Servizio Urbanistica, Transizione ecologica e Protezione civile, Arch. Pamela Bracciotti, nata a xxx il xxx, Cod. fisc. xxx per la qualifica domiciliata presso il Municipio, la quale interviene al presente atto esclusivamente ai </w:t>
      </w:r>
      <w:r>
        <w:rPr>
          <w:rFonts w:ascii="Times New Roman" w:hAnsi="Times New Roman" w:cs="Times New Roman"/>
        </w:rPr>
        <w:t>sensi dell’art.11 del “Regolamento per la disciplina dei contratti” approvato con D.C.C. n.194/2005 ss. mm. ii;</w:t>
      </w:r>
    </w:p>
    <w:p w:rsidR="008103E5" w:rsidRDefault="009E08CA">
      <w:pPr>
        <w:tabs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CONSIAG SERVIZI COMUNI SRL (C.F- P.Iva 02296760974), rappresentato dalla Sig.ra Tripoli Maria, nata a xxx il xxx Codice Fiscale xxx, che int</w:t>
      </w:r>
      <w:r>
        <w:rPr>
          <w:rFonts w:ascii="Times New Roman" w:hAnsi="Times New Roman" w:cs="Times New Roman"/>
        </w:rPr>
        <w:t>erviene in qualità di Direttore Generale della suddetta Società, con sede in via Panziera n. 16, a Prato.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PREMESSO CHE:</w:t>
      </w:r>
    </w:p>
    <w:p w:rsidR="008103E5" w:rsidRDefault="008103E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03E5" w:rsidRDefault="009E08CA">
      <w:pPr>
        <w:pStyle w:val="Paragrafoelenco"/>
        <w:numPr>
          <w:ilvl w:val="0"/>
          <w:numId w:val="2"/>
        </w:numPr>
        <w:spacing w:after="0" w:line="360" w:lineRule="auto"/>
        <w:ind w:left="142" w:hanging="153"/>
      </w:pPr>
      <w:r>
        <w:rPr>
          <w:rFonts w:ascii="Times New Roman" w:hAnsi="Times New Roman" w:cs="Times New Roman"/>
        </w:rPr>
        <w:t xml:space="preserve">Con Determinazione Dirigenziale n. 2880 del 26/10/2023 è stato approvato il  </w:t>
      </w:r>
      <w:r>
        <w:rPr>
          <w:rStyle w:val="testo"/>
          <w:rFonts w:ascii="Times New Roman" w:hAnsi="Times New Roman" w:cs="Times New Roman"/>
          <w:kern w:val="2"/>
          <w:sz w:val="22"/>
          <w:szCs w:val="20"/>
        </w:rPr>
        <w:t>Piano degli interventi del Verde pubblico, che al suo interno contiene l’intervento C) “</w:t>
      </w:r>
      <w:r>
        <w:rPr>
          <w:rStyle w:val="testo"/>
          <w:rFonts w:ascii="Times New Roman" w:hAnsi="Times New Roman" w:cs="Times New Roman"/>
          <w:kern w:val="2"/>
          <w:sz w:val="22"/>
          <w:szCs w:val="24"/>
        </w:rPr>
        <w:t>Fornitura e posa in opera di nuova cartellonistica per i giardini pubblici</w:t>
      </w:r>
      <w:r>
        <w:rPr>
          <w:rStyle w:val="testo"/>
          <w:rFonts w:ascii="Times New Roman" w:hAnsi="Times New Roman" w:cs="Times New Roman"/>
          <w:kern w:val="2"/>
          <w:sz w:val="22"/>
          <w:szCs w:val="24"/>
        </w:rPr>
        <w:t>”</w:t>
      </w:r>
      <w:r>
        <w:rPr>
          <w:rStyle w:val="testo"/>
          <w:rFonts w:ascii="Times New Roman" w:hAnsi="Times New Roman" w:cs="Times New Roman"/>
          <w:kern w:val="2"/>
          <w:sz w:val="22"/>
          <w:szCs w:val="20"/>
        </w:rPr>
        <w:t xml:space="preserve"> </w:t>
      </w:r>
      <w:r>
        <w:rPr>
          <w:rStyle w:val="proponente"/>
          <w:rFonts w:ascii="Times New Roman" w:hAnsi="Times New Roman" w:cs="Times New Roman"/>
          <w:color w:val="000000"/>
          <w:kern w:val="2"/>
          <w:sz w:val="22"/>
          <w:szCs w:val="20"/>
        </w:rPr>
        <w:t>;</w:t>
      </w:r>
    </w:p>
    <w:p w:rsidR="008103E5" w:rsidRDefault="009E08CA">
      <w:pPr>
        <w:pStyle w:val="Paragrafoelenco"/>
        <w:numPr>
          <w:ilvl w:val="0"/>
          <w:numId w:val="2"/>
        </w:numPr>
        <w:spacing w:after="0" w:line="360" w:lineRule="auto"/>
        <w:ind w:left="142" w:hanging="153"/>
      </w:pPr>
      <w:r>
        <w:rPr>
          <w:rFonts w:ascii="Times New Roman" w:hAnsi="Times New Roman" w:cs="Times New Roman"/>
        </w:rPr>
        <w:t>con Determinazione Dirigenziale n. xxxx del xxxx è stato approvato il progetto esecutivo d</w:t>
      </w:r>
      <w:r>
        <w:rPr>
          <w:rFonts w:ascii="Times New Roman" w:hAnsi="Times New Roman" w:cs="Times New Roman"/>
        </w:rPr>
        <w:t xml:space="preserve">ei lavori di </w:t>
      </w:r>
      <w:r>
        <w:rPr>
          <w:rStyle w:val="testo"/>
          <w:rFonts w:ascii="Times New Roman" w:hAnsi="Times New Roman" w:cs="Times New Roman"/>
          <w:kern w:val="2"/>
          <w:sz w:val="22"/>
          <w:szCs w:val="24"/>
        </w:rPr>
        <w:t>fornitura e posa in opera di nuova cartellonistica per i giardini pubblici del Piano degli interventi del verde pubblico, affid</w:t>
      </w:r>
      <w:r>
        <w:rPr>
          <w:rFonts w:ascii="Times New Roman" w:hAnsi="Times New Roman" w:cs="Times New Roman"/>
        </w:rPr>
        <w:t>ando gli stessi lavori a Consiag Servizi Comuni srl e nominando il Geom. Damiano Bennati, dipendente di Consiag Serv</w:t>
      </w:r>
      <w:r>
        <w:rPr>
          <w:rFonts w:ascii="Times New Roman" w:hAnsi="Times New Roman" w:cs="Times New Roman"/>
        </w:rPr>
        <w:t>izi Comuni, quale di Direttore dei lavori;</w:t>
      </w:r>
    </w:p>
    <w:p w:rsidR="008103E5" w:rsidRDefault="009E08CA">
      <w:pPr>
        <w:pStyle w:val="Paragrafoelenco"/>
        <w:numPr>
          <w:ilvl w:val="0"/>
          <w:numId w:val="2"/>
        </w:numPr>
        <w:spacing w:after="0" w:line="360" w:lineRule="auto"/>
        <w:ind w:left="142" w:hanging="153"/>
      </w:pPr>
      <w:r>
        <w:rPr>
          <w:rFonts w:ascii="Times New Roman" w:hAnsi="Times New Roman" w:cs="Times New Roman"/>
        </w:rPr>
        <w:t>ai sensi dell’art. 15 del D.Lgs. n. 36/2023, il Responsabile Unico del Progetto è l’Arch. Caterina Bruschi.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ciò premesso, le Parti come sopra costituite, convengono e stipulano quanto segue: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</w:t>
      </w:r>
      <w:r>
        <w:rPr>
          <w:rFonts w:ascii="Times New Roman" w:hAnsi="Times New Roman" w:cs="Times New Roman"/>
          <w:b/>
          <w:bCs/>
        </w:rPr>
        <w:t>etto dell’affidamento</w:t>
      </w:r>
    </w:p>
    <w:p w:rsidR="008103E5" w:rsidRDefault="009E08C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Il Comune di Prato, come sopra rappresentato, conferisce a Consiag Servizi Comuni srl, come sopra rappresentato, che accetta, l’affidamento dei lavori di </w:t>
      </w:r>
      <w:r>
        <w:rPr>
          <w:rStyle w:val="testo"/>
          <w:rFonts w:ascii="Times New Roman" w:hAnsi="Times New Roman" w:cs="Times New Roman"/>
          <w:kern w:val="2"/>
          <w:sz w:val="22"/>
          <w:szCs w:val="24"/>
        </w:rPr>
        <w:t>ornitura e posa in opera di nuova cartellonistica per i giardini pubblici</w:t>
      </w:r>
      <w:r>
        <w:rPr>
          <w:rStyle w:val="testo"/>
          <w:rFonts w:ascii="Times New Roman" w:hAnsi="Times New Roman" w:cs="Times New Roman"/>
          <w:kern w:val="2"/>
          <w:sz w:val="22"/>
          <w:szCs w:val="20"/>
        </w:rPr>
        <w:t xml:space="preserve"> del Piano degli Interventi del Verde Pubblico</w:t>
      </w:r>
      <w:r>
        <w:rPr>
          <w:rStyle w:val="testo"/>
          <w:rFonts w:ascii="Times New Roman" w:hAnsi="Times New Roman" w:cs="Times New Roman"/>
          <w:color w:val="000000"/>
          <w:kern w:val="2"/>
          <w:sz w:val="22"/>
          <w:szCs w:val="20"/>
        </w:rPr>
        <w:t xml:space="preserve">, </w:t>
      </w:r>
      <w:r>
        <w:rPr>
          <w:rFonts w:ascii="Times New Roman" w:hAnsi="Times New Roman" w:cs="Times New Roman"/>
        </w:rPr>
        <w:t>meglio rappresentato negli elaborati progettuali sotto indicati, approvati con Determinazione Dirigenziale n. xxx del xx/xx/xxx:</w:t>
      </w:r>
    </w:p>
    <w:p w:rsidR="008103E5" w:rsidRDefault="009E08CA">
      <w:pPr>
        <w:pStyle w:val="NormaleWeb"/>
        <w:numPr>
          <w:ilvl w:val="0"/>
          <w:numId w:val="1"/>
        </w:numPr>
        <w:spacing w:after="0" w:line="360" w:lineRule="auto"/>
        <w:ind w:left="510" w:firstLine="0"/>
        <w:jc w:val="both"/>
      </w:pPr>
      <w:r>
        <w:rPr>
          <w:rStyle w:val="testo"/>
          <w:rFonts w:cs="Arial"/>
          <w:kern w:val="2"/>
          <w:sz w:val="20"/>
          <w:szCs w:val="20"/>
          <w:lang w:eastAsia="ar-SA"/>
        </w:rPr>
        <w:t>- Relazione Tecnica con cronoprogramma</w:t>
      </w:r>
      <w:r>
        <w:rPr>
          <w:rStyle w:val="testo"/>
          <w:rFonts w:cs="Arial"/>
          <w:kern w:val="2"/>
          <w:sz w:val="20"/>
          <w:szCs w:val="20"/>
          <w:lang w:eastAsia="ar-SA"/>
        </w:rPr>
        <w:t xml:space="preserve">; </w:t>
      </w:r>
    </w:p>
    <w:p w:rsidR="008103E5" w:rsidRDefault="009E08CA">
      <w:pPr>
        <w:pStyle w:val="NormaleWeb"/>
        <w:numPr>
          <w:ilvl w:val="0"/>
          <w:numId w:val="1"/>
        </w:numPr>
        <w:spacing w:after="0" w:line="360" w:lineRule="auto"/>
        <w:ind w:left="510" w:firstLine="0"/>
        <w:jc w:val="both"/>
        <w:rPr>
          <w:rFonts w:ascii="Arial" w:hAnsi="Arial" w:cs="Arial"/>
          <w:sz w:val="20"/>
          <w:szCs w:val="20"/>
        </w:rPr>
      </w:pPr>
      <w:r>
        <w:rPr>
          <w:rStyle w:val="testo"/>
          <w:rFonts w:cs="Arial"/>
          <w:kern w:val="2"/>
          <w:sz w:val="20"/>
          <w:szCs w:val="20"/>
          <w:lang w:eastAsia="ar-SA"/>
        </w:rPr>
        <w:t>-  Computo metrico estimativo comprensivo del quadro econ</w:t>
      </w:r>
      <w:r>
        <w:rPr>
          <w:rStyle w:val="testo"/>
          <w:rFonts w:cs="Arial"/>
          <w:kern w:val="2"/>
          <w:sz w:val="20"/>
          <w:szCs w:val="20"/>
          <w:lang w:eastAsia="ar-SA"/>
        </w:rPr>
        <w:t>omico</w:t>
      </w:r>
    </w:p>
    <w:p w:rsidR="008103E5" w:rsidRDefault="009E08CA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510"/>
      </w:pPr>
      <w:r>
        <w:rPr>
          <w:rFonts w:ascii="Times New Roman" w:hAnsi="Times New Roman" w:cs="Times New Roman"/>
        </w:rPr>
        <w:t>Bozza di contratto</w:t>
      </w:r>
    </w:p>
    <w:p w:rsidR="008103E5" w:rsidRDefault="008103E5">
      <w:pPr>
        <w:pStyle w:val="NormaleWeb"/>
        <w:spacing w:after="0" w:line="360" w:lineRule="auto"/>
        <w:jc w:val="both"/>
        <w:rPr>
          <w:sz w:val="22"/>
          <w:szCs w:val="22"/>
          <w:highlight w:val="yellow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2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Corrispettivo dell’affidamento e modalità di pagamento</w:t>
      </w:r>
    </w:p>
    <w:p w:rsidR="008103E5" w:rsidRDefault="009E08CA">
      <w:pPr>
        <w:pStyle w:val="NormaleWeb"/>
        <w:spacing w:after="0" w:line="360" w:lineRule="auto"/>
        <w:jc w:val="both"/>
      </w:pPr>
      <w:r>
        <w:rPr>
          <w:sz w:val="22"/>
          <w:szCs w:val="22"/>
        </w:rPr>
        <w:t xml:space="preserve">Il corrispettivo dovuto dal Comune di Prato a Consiag Servizi Comuni srl, per il pieno e perfetto adempimento del </w:t>
      </w:r>
      <w:r>
        <w:rPr>
          <w:sz w:val="22"/>
          <w:szCs w:val="22"/>
        </w:rPr>
        <w:t xml:space="preserve">contratto, comprensivo degli oneri per la sicurezza, è fissato complessivamente in euro xxx (xxxxx), oltre IVA nella misura di legge. 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somma viene dichiarata sin d’ora, soggetta alla liquidazione finale in un’unica soluzione al termine di ciascuno dei</w:t>
      </w:r>
      <w:r>
        <w:rPr>
          <w:rFonts w:ascii="Times New Roman" w:hAnsi="Times New Roman" w:cs="Times New Roman"/>
        </w:rPr>
        <w:t xml:space="preserve"> lavori, dopo l’approvazione dei rispettivi Certificati di Regolare Esecuzione 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pagamento sarà effettuato mediante mandato emesso sulla Tesoreria del Comune di Prato. 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3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Obblighi dell’Affidatario</w:t>
      </w:r>
    </w:p>
    <w:p w:rsidR="008103E5" w:rsidRDefault="009E08C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L’affidamento viene concesso dal Comune di </w:t>
      </w:r>
      <w:r>
        <w:rPr>
          <w:rFonts w:ascii="Times New Roman" w:hAnsi="Times New Roman" w:cs="Times New Roman"/>
        </w:rPr>
        <w:t>Prato ed accettato da Consiag Servizi Comuni s.r.l. sotto l’osservanza piena, assoluta ed inscindibile delle condizioni e delle modalità di cui ai seguenti documenti, afferenti a ciascuno dei quattro giardini:</w:t>
      </w:r>
    </w:p>
    <w:p w:rsidR="008103E5" w:rsidRDefault="009E08CA">
      <w:pPr>
        <w:pStyle w:val="NormaleWeb"/>
        <w:numPr>
          <w:ilvl w:val="0"/>
          <w:numId w:val="1"/>
        </w:numPr>
        <w:spacing w:after="0" w:line="360" w:lineRule="auto"/>
        <w:ind w:left="510" w:firstLine="0"/>
        <w:jc w:val="both"/>
      </w:pPr>
      <w:r>
        <w:rPr>
          <w:rStyle w:val="testo"/>
          <w:rFonts w:cs="Arial"/>
          <w:kern w:val="2"/>
          <w:sz w:val="20"/>
          <w:szCs w:val="20"/>
          <w:lang w:eastAsia="ar-SA"/>
        </w:rPr>
        <w:t>- Relazione Tecnica con cronoprogramma</w:t>
      </w:r>
      <w:r>
        <w:rPr>
          <w:rStyle w:val="testo"/>
          <w:rFonts w:cs="Arial"/>
          <w:kern w:val="2"/>
          <w:sz w:val="20"/>
          <w:szCs w:val="20"/>
          <w:lang w:eastAsia="ar-SA"/>
        </w:rPr>
        <w:t xml:space="preserve">; </w:t>
      </w:r>
    </w:p>
    <w:p w:rsidR="008103E5" w:rsidRDefault="009E08CA">
      <w:pPr>
        <w:pStyle w:val="NormaleWeb"/>
        <w:numPr>
          <w:ilvl w:val="0"/>
          <w:numId w:val="1"/>
        </w:numPr>
        <w:spacing w:after="0" w:line="360" w:lineRule="auto"/>
        <w:ind w:left="510" w:firstLine="0"/>
        <w:jc w:val="both"/>
        <w:rPr>
          <w:rFonts w:ascii="Arial" w:hAnsi="Arial" w:cs="Arial"/>
          <w:sz w:val="20"/>
          <w:szCs w:val="20"/>
        </w:rPr>
      </w:pPr>
      <w:r>
        <w:rPr>
          <w:rStyle w:val="testo"/>
          <w:rFonts w:cs="Arial"/>
          <w:kern w:val="2"/>
          <w:sz w:val="20"/>
          <w:szCs w:val="20"/>
          <w:lang w:eastAsia="ar-SA"/>
        </w:rPr>
        <w:t>-  Computo metrico estim</w:t>
      </w:r>
      <w:r>
        <w:rPr>
          <w:rStyle w:val="testo"/>
          <w:rFonts w:cs="Arial"/>
          <w:kern w:val="2"/>
          <w:sz w:val="20"/>
          <w:szCs w:val="20"/>
          <w:lang w:eastAsia="ar-SA"/>
        </w:rPr>
        <w:t>ativo comprensivo del quadro economico</w:t>
      </w:r>
    </w:p>
    <w:p w:rsidR="008103E5" w:rsidRDefault="009E08CA">
      <w:pPr>
        <w:pStyle w:val="Paragrafoelenco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510"/>
      </w:pPr>
      <w:r>
        <w:rPr>
          <w:rFonts w:ascii="Times New Roman" w:hAnsi="Times New Roman" w:cs="Times New Roman"/>
        </w:rPr>
        <w:t>Bozza di contratto</w:t>
      </w:r>
    </w:p>
    <w:p w:rsidR="008103E5" w:rsidRDefault="009E08CA">
      <w:pPr>
        <w:pStyle w:val="Paragrafoelenco"/>
        <w:tabs>
          <w:tab w:val="left" w:pos="284"/>
        </w:tabs>
        <w:spacing w:after="0" w:line="360" w:lineRule="auto"/>
        <w:ind w:left="0" w:firstLine="0"/>
      </w:pPr>
      <w:r>
        <w:rPr>
          <w:rFonts w:ascii="Times New Roman" w:hAnsi="Times New Roman" w:cs="Times New Roman"/>
        </w:rPr>
        <w:t>L’affidatario prende atto dell’obbligo, facente carico al medesimo, ai sensi del Decreto Legislativo 81/2008 e di tutte le norme e regolamenti in ma</w:t>
      </w:r>
      <w:r>
        <w:rPr>
          <w:rFonts w:ascii="Times New Roman" w:hAnsi="Times New Roman" w:cs="Times New Roman"/>
        </w:rPr>
        <w:t>teria di sicurezza e salute sui luoghi di lavoro, di curare il coordinamento di tutte le imprese operanti nel cantiere.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particolare, l’Affidatario dichiara che gli elaborati grafici sopra richiamati sono completi e sufficientemente dettagliati ai fini d</w:t>
      </w:r>
      <w:r>
        <w:rPr>
          <w:rFonts w:ascii="Times New Roman" w:hAnsi="Times New Roman" w:cs="Times New Roman"/>
        </w:rPr>
        <w:t>ella esecuzione dei lavori.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4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Tempo utile per l’ultimazione dei lavori e penali</w:t>
      </w:r>
    </w:p>
    <w:p w:rsidR="008103E5" w:rsidRDefault="009E08CA">
      <w:pPr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t>Il tempo utile stimato per completare i lavori di cui all’oggetto, è pari a xxxx giorni naturali e consecutivi, decorrenti dalla data di sottoscrizione del verbale di</w:t>
      </w:r>
      <w:r>
        <w:rPr>
          <w:rFonts w:ascii="Times New Roman" w:hAnsi="Times New Roman" w:cs="Times New Roman"/>
        </w:rPr>
        <w:t xml:space="preserve"> consegna dei lavori;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5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bookmarkStart w:id="0" w:name="__DdeLink__134_576742138"/>
      <w:r>
        <w:rPr>
          <w:rFonts w:ascii="Times New Roman" w:hAnsi="Times New Roman" w:cs="Times New Roman"/>
          <w:b/>
          <w:bCs/>
        </w:rPr>
        <w:t>Risoluzione Revoca e Recesso</w:t>
      </w:r>
      <w:bookmarkEnd w:id="0"/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Cs/>
        </w:rPr>
        <w:t xml:space="preserve">Il Comune ha facoltà di revocare il presente affidamento in caso di reiterate violazioni delle direttive dallo stesso impartite per l’esecuzione dei </w:t>
      </w:r>
      <w:bookmarkStart w:id="1" w:name="_GoBack"/>
      <w:r>
        <w:rPr>
          <w:rFonts w:ascii="Times New Roman" w:hAnsi="Times New Roman" w:cs="Times New Roman"/>
          <w:bCs/>
        </w:rPr>
        <w:t>lavori</w:t>
      </w:r>
      <w:bookmarkEnd w:id="1"/>
      <w:r>
        <w:rPr>
          <w:rFonts w:ascii="Times New Roman" w:hAnsi="Times New Roman" w:cs="Times New Roman"/>
          <w:bCs/>
        </w:rPr>
        <w:t xml:space="preserve"> da parte della società, nonché in cas</w:t>
      </w:r>
      <w:r>
        <w:rPr>
          <w:rFonts w:ascii="Times New Roman" w:hAnsi="Times New Roman" w:cs="Times New Roman"/>
          <w:bCs/>
        </w:rPr>
        <w:t>o di grave e ingiustificato inadempimento nella realizzazione degli interventi imputabile alla stessa società affidataria.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Cs/>
        </w:rPr>
        <w:t xml:space="preserve">Il contratto potrà essere risolto da ciascuna parte in ipotesi di grave inadempimento dell'altra parte, salvo il diritto della parte </w:t>
      </w:r>
      <w:r>
        <w:rPr>
          <w:rFonts w:ascii="Times New Roman" w:hAnsi="Times New Roman" w:cs="Times New Roman"/>
          <w:bCs/>
        </w:rPr>
        <w:t>non inadempiente a richiedere il risarcimento del danno subito.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Gli eventuali inadempimenti delle obbligazioni derivanti dal presente atto sono contestati mediante l’invio di una PEC di addebito corredata dalla documentazione a supporto e, se necessario, </w:t>
      </w:r>
      <w:r>
        <w:rPr>
          <w:rFonts w:ascii="Times New Roman" w:hAnsi="Times New Roman" w:cs="Times New Roman"/>
          <w:bCs/>
        </w:rPr>
        <w:t xml:space="preserve">dall’intimazione ad adottare le misure atte a rimuovere gli effetti dell’inadempimento. Entro 5 (cinque) giorni dal ricevimento della nota di addebito, la parte cui l’addebito è imputato può inviare all’altra parte le proprie osservazioni/controdeduzioni. </w:t>
      </w:r>
      <w:r>
        <w:rPr>
          <w:rFonts w:ascii="Times New Roman" w:hAnsi="Times New Roman" w:cs="Times New Roman"/>
          <w:bCs/>
        </w:rPr>
        <w:t>Tenuto conto delle eventuali osservazioni, la parte non inadempiente diffida la parte inadempiente a provvedere a rimuovere l’inadempimento, fissandogli un congruo termine. Qualora l’inadempimento persista il contratto si intenderà risolto di diritto.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Per </w:t>
      </w:r>
      <w:r>
        <w:rPr>
          <w:rFonts w:ascii="Times New Roman" w:hAnsi="Times New Roman" w:cs="Times New Roman"/>
          <w:bCs/>
        </w:rPr>
        <w:t>quanto non disposto, si rimanda al Codice Civile.</w:t>
      </w:r>
    </w:p>
    <w:p w:rsidR="008103E5" w:rsidRDefault="008103E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6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Penali</w:t>
      </w:r>
    </w:p>
    <w:p w:rsidR="008103E5" w:rsidRDefault="009E08CA">
      <w:pPr>
        <w:widowControl w:val="0"/>
        <w:shd w:val="clear" w:color="auto" w:fill="FFFFFF"/>
        <w:spacing w:after="0" w:line="360" w:lineRule="auto"/>
        <w:ind w:right="8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ritardo nell’adempimento degli obblighi contrattuali da parte di Consiag Servizi Comuni Srl comporta l’applicazione di penali, stabilite nella misura di Euro 100,00 per ogni giorno nat</w:t>
      </w:r>
      <w:r>
        <w:rPr>
          <w:rFonts w:ascii="Times New Roman" w:hAnsi="Times New Roman" w:cs="Times New Roman"/>
          <w:bCs/>
        </w:rPr>
        <w:t>urale e consecutivo di ritardo rispetto al termine assegnato a partire dalla formale contestazione per il singolo intervento, salvo giustificato motivo a giudizio insindacabile dell’Amministrazione Comunale. Dalla data di ricezione della comunicazione di m</w:t>
      </w:r>
      <w:r>
        <w:rPr>
          <w:rFonts w:ascii="Times New Roman" w:hAnsi="Times New Roman" w:cs="Times New Roman"/>
          <w:bCs/>
        </w:rPr>
        <w:t>ancato intervento e/o di intervento non eseguito a regola d’arte, Consiag Servizi Comuni Srl potrà presentare le proprie controdeduzioni entro 10 giorni naturali e consecutivi.</w:t>
      </w:r>
    </w:p>
    <w:p w:rsidR="008103E5" w:rsidRDefault="009E08CA">
      <w:pPr>
        <w:widowControl w:val="0"/>
        <w:shd w:val="clear" w:color="auto" w:fill="FFFFFF"/>
        <w:spacing w:after="0" w:line="360" w:lineRule="auto"/>
        <w:ind w:right="8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 penale sarà decurtata dai crediti di Consiag Servizi Comuni Srl in sede di f</w:t>
      </w:r>
      <w:r>
        <w:rPr>
          <w:rFonts w:ascii="Times New Roman" w:hAnsi="Times New Roman" w:cs="Times New Roman"/>
          <w:bCs/>
        </w:rPr>
        <w:t xml:space="preserve">atturazione periodica e/o finale. Qualora il ritardo nell’adempimento determini un importo massimo della penale superiore al 10% dell’ammontare contrattuale complessivo del disciplinare l’Amministrazione Comunale promuoverà la procedura per la risoluzione </w:t>
      </w:r>
      <w:r>
        <w:rPr>
          <w:rFonts w:ascii="Times New Roman" w:hAnsi="Times New Roman" w:cs="Times New Roman"/>
          <w:bCs/>
        </w:rPr>
        <w:t>del contratto, costituendo grave ritardo ed inadempimento ai sensi dei citati articoli.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Cs/>
        </w:rPr>
        <w:t>Per tutto quanto non definito nel presente articolo si rimanda a quanto contenuto nel codice civile.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  <w:bCs/>
          <w:highlight w:val="yellow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7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Responsabilità dell’affidatario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L’Affidatario terrà sol</w:t>
      </w:r>
      <w:r>
        <w:rPr>
          <w:rFonts w:ascii="Times New Roman" w:hAnsi="Times New Roman" w:cs="Times New Roman"/>
        </w:rPr>
        <w:t>levato ed indenne il Comune di Prato da ogni controversia (comprese quelle relative a risarcimento danni) e conseguenti eventuali oneri che possono derivare da contestazioni, richieste, ecc. da parte di terzi, in ordine alla esecuzione dei lavori.</w:t>
      </w:r>
    </w:p>
    <w:p w:rsidR="008103E5" w:rsidRDefault="008103E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</w:t>
      </w:r>
      <w:r>
        <w:rPr>
          <w:rFonts w:ascii="Times New Roman" w:hAnsi="Times New Roman" w:cs="Times New Roman"/>
          <w:b/>
          <w:bCs/>
        </w:rPr>
        <w:t>O 8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Programma esecuzione lavori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parti danno atto che l’Affidatario dovrà predisporre un programma di esecuzione lavori.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9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>Revisione prezzi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parti, come sopra costituite, danno atto che la revisione prezzi non è ammessa.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10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 xml:space="preserve">Divieto </w:t>
      </w:r>
      <w:r>
        <w:rPr>
          <w:rFonts w:ascii="Times New Roman" w:hAnsi="Times New Roman" w:cs="Times New Roman"/>
          <w:b/>
          <w:bCs/>
        </w:rPr>
        <w:t>di cessione del contratto e ricorso a prestazione di terzi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La Società potrà avvalersi ai fini dello svolgimento delle prestazioni del presente contratto, per il tramite di specifici contratti, di terzi individuati nel rispetto nel rispetto del D.lgs. 26/20</w:t>
      </w:r>
      <w:r>
        <w:rPr>
          <w:rFonts w:ascii="Times New Roman" w:hAnsi="Times New Roman" w:cs="Times New Roman"/>
        </w:rPr>
        <w:t>23, per l'esecuzione delle attività. In ogni caso, la Società risponde nei confronti del Comune degli obblighi previsti dal presente contratto.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fatto altresì divieto alla società di cedere il contratto, pena l’immediata risoluzione dello stesso e fatto </w:t>
      </w:r>
      <w:r>
        <w:rPr>
          <w:rFonts w:ascii="Times New Roman" w:hAnsi="Times New Roman" w:cs="Times New Roman"/>
        </w:rPr>
        <w:t>salvo l’ulteriore risarcimento del maggiore danno.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11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Obblighi dell’Affidatario nei confronti dei propri lavoratori dipendenti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L’Affidatario dichiara, ai sensi del Decreto Legislativo 81/2008 e successive modificazioni ed integrazioni, di applica</w:t>
      </w:r>
      <w:r>
        <w:rPr>
          <w:rFonts w:ascii="Times New Roman" w:hAnsi="Times New Roman" w:cs="Times New Roman"/>
        </w:rPr>
        <w:t>re ai propri lavoratori dipendenti i vigenti Contratti Collettivi Nazionali di Lavoro e di agire, nei confronti degli stessi, nel rispetto degli obblighi assicurativi e previdenziali previsti dai contratti medesimi.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L’Affidatario si obbliga, altresì, a ris</w:t>
      </w:r>
      <w:r>
        <w:rPr>
          <w:rFonts w:ascii="Times New Roman" w:hAnsi="Times New Roman" w:cs="Times New Roman"/>
        </w:rPr>
        <w:t>pettare tutte le norme in materia retributiva, contributiva, previdenziale, assistenziale, assicurativa, sanitaria, previste per i dipendenti dalla vigente normativa con particolare riguardo a quanto previsto dall’articolo 18, comma 7, della legge 19 marzo</w:t>
      </w:r>
      <w:r>
        <w:rPr>
          <w:rFonts w:ascii="Times New Roman" w:hAnsi="Times New Roman" w:cs="Times New Roman"/>
        </w:rPr>
        <w:t xml:space="preserve"> 1990, n. 55, e successive modificazioni ed integrazioni.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12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Trattamento dei dati personali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Comune di Prato tratterà i dati, contenuti nel presente contratto, secondo le disposizioni del Regolamento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(UE) 2016/679 del 27 aprile 2016.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ARTICOLO </w:t>
      </w:r>
      <w:r>
        <w:rPr>
          <w:rFonts w:ascii="Times New Roman" w:hAnsi="Times New Roman" w:cs="Times New Roman"/>
          <w:b/>
          <w:bCs/>
        </w:rPr>
        <w:t>13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Funzioni di controllo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funzioni di controllo in merito ai lavori oggetto del presente contratto sono attribuite al Responsabile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Procedimento ed al Direttore dei Lavori, nell’ambito delle rispettive competenze.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14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>Normative di riferimento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quanto non disciplinato nel presente atto e nei progetti allegati, si applicano le disposizioni del codice civile, nonché le norme legislative e regolamentari vigenti, sia nazionali che comunitarie, i provvedimenti dell'Autorità e le norme tecniche em</w:t>
      </w:r>
      <w:r>
        <w:rPr>
          <w:rFonts w:ascii="Times New Roman" w:hAnsi="Times New Roman" w:cs="Times New Roman"/>
        </w:rPr>
        <w:t>anate dagli organismi nazionali ed internazionali competenti in materia, applicabili a quanto affidato, a decorrere dal loro effettivo recepimento.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15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Cessazione del rapporto di in house providing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Comune, qualora vengano meno le condizioni di </w:t>
      </w:r>
      <w:r>
        <w:rPr>
          <w:rFonts w:ascii="Times New Roman" w:hAnsi="Times New Roman" w:cs="Times New Roman"/>
        </w:rPr>
        <w:t>fatto e/o di diritto che determinano la sussistenza di un rapporto di in house providing fra amministrazione e affidatario provvederà a comunicare in forma scritta all’affidatario tale circostanza, indicando un termine, comunque non inferiore a tre mesi, e</w:t>
      </w:r>
      <w:r>
        <w:rPr>
          <w:rFonts w:ascii="Times New Roman" w:hAnsi="Times New Roman" w:cs="Times New Roman"/>
        </w:rPr>
        <w:t>ntro cui l’affidatario dovrà cessare le attività affidate.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tale ipotesi, il Comune entro i successivi 90 giorni corrisponderà all'affidatario, oltre alle somme dovute per lo svolgimento delle attività svolte fino al termine sopra indicato, un importo pa</w:t>
      </w:r>
      <w:r>
        <w:rPr>
          <w:rFonts w:ascii="Times New Roman" w:hAnsi="Times New Roman" w:cs="Times New Roman"/>
        </w:rPr>
        <w:t>ri al valore dei beni forniti che rimarranno in proprietà dell’A.C..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Detto importo sarà definito e riportato in apposito accordo sottoscritto dalle parti, attraverso il quale saranno disciplinate anche tutte le altre condizioni per la retrocessione dal con</w:t>
      </w:r>
      <w:r>
        <w:rPr>
          <w:rFonts w:ascii="Times New Roman" w:hAnsi="Times New Roman" w:cs="Times New Roman"/>
        </w:rPr>
        <w:t>tratto di affidamento.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16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Foro competente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ogni controversia sarà competente esclusivamente il Foro di Prato.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ARTICOLO 17</w:t>
      </w:r>
    </w:p>
    <w:p w:rsidR="008103E5" w:rsidRDefault="009E08C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Spese contrattuali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spese contrattuali, di registrazione e consequenziali, nascenti dal presente atto, sono a carico, </w:t>
      </w:r>
      <w:r>
        <w:rPr>
          <w:rFonts w:ascii="Times New Roman" w:hAnsi="Times New Roman" w:cs="Times New Roman"/>
        </w:rPr>
        <w:t>senza possibilità di rivalsa, dell’Affidatario che, nei nomi come sopra, dichiara di assumerle, mentre l’Imposta sul Valore Aggiunto (I.V.A.), è a carico del Comune di Prato.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fini fiscali le parti chiedono la registrazione del presente contratto a tassa</w:t>
      </w:r>
      <w:r>
        <w:rPr>
          <w:rFonts w:ascii="Times New Roman" w:hAnsi="Times New Roman" w:cs="Times New Roman"/>
        </w:rPr>
        <w:t xml:space="preserve"> fissa, ai sensi dell’art. 40 del D.P.R. 26.4.1986 n. 131 e successive modifiche.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presente contratto si compone di n. 6 pagine.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pStyle w:val="Paragrafoelenco"/>
        <w:widowControl w:val="0"/>
        <w:spacing w:after="0" w:line="360" w:lineRule="auto"/>
        <w:ind w:left="0" w:firstLine="0"/>
        <w:rPr>
          <w:rFonts w:ascii="Times New Roman" w:eastAsia="Times New Roman" w:hAnsi="Times New Roman" w:cs="Times New Roman"/>
          <w:i/>
          <w:iCs/>
          <w:lang w:bidi="he-IL"/>
        </w:rPr>
      </w:pP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Letto, approvato e sottoscritto</w:t>
      </w:r>
    </w:p>
    <w:p w:rsidR="008103E5" w:rsidRDefault="009E08C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Prato, il xx/xx/xxxx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il Comune di Prato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Dirigente del Servizio Urbanistica, Trans</w:t>
      </w:r>
      <w:r>
        <w:rPr>
          <w:rFonts w:ascii="Times New Roman" w:hAnsi="Times New Roman" w:cs="Times New Roman"/>
          <w:color w:val="000000"/>
        </w:rPr>
        <w:t>izione ecologica e Protezione civile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(Arch. Pamela Bracciotti)</w:t>
      </w: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Consiag Servizi Comuni s.r.l.</w:t>
      </w:r>
    </w:p>
    <w:p w:rsidR="008103E5" w:rsidRDefault="009E08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Direttore Generale</w:t>
      </w:r>
    </w:p>
    <w:p w:rsidR="008103E5" w:rsidRDefault="009E08CA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(Maria Tripoli)</w:t>
      </w: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8103E5">
      <w:pPr>
        <w:spacing w:line="360" w:lineRule="auto"/>
        <w:jc w:val="both"/>
        <w:rPr>
          <w:rFonts w:ascii="Times New Roman" w:hAnsi="Times New Roman" w:cs="Times New Roman"/>
        </w:rPr>
      </w:pPr>
    </w:p>
    <w:p w:rsidR="008103E5" w:rsidRDefault="009E08CA">
      <w:pPr>
        <w:pStyle w:val="Paragrafoelenco"/>
        <w:widowControl w:val="0"/>
        <w:spacing w:after="0" w:line="360" w:lineRule="auto"/>
        <w:ind w:left="0" w:firstLine="0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bidi="he-IL"/>
        </w:rPr>
        <w:t xml:space="preserve">Documento letto, confermato e firmato digitalmente ai sensi del T.U. 445/2000 e del D.Lgs 82/2005 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bidi="he-IL"/>
        </w:rPr>
        <w:t>rispettive norme collegate, il quale sostituisce il documento cartaceo e la firma autografa .</w:t>
      </w:r>
    </w:p>
    <w:sectPr w:rsidR="008103E5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8CA">
      <w:pPr>
        <w:spacing w:after="0" w:line="240" w:lineRule="auto"/>
      </w:pPr>
      <w:r>
        <w:separator/>
      </w:r>
    </w:p>
  </w:endnote>
  <w:endnote w:type="continuationSeparator" w:id="0">
    <w:p w:rsidR="00000000" w:rsidRDefault="009E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E5" w:rsidRDefault="009E08CA">
    <w:pPr>
      <w:pStyle w:val="Pidipagina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8103E5" w:rsidRDefault="00810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8CA">
      <w:pPr>
        <w:spacing w:after="0" w:line="240" w:lineRule="auto"/>
      </w:pPr>
      <w:r>
        <w:separator/>
      </w:r>
    </w:p>
  </w:footnote>
  <w:footnote w:type="continuationSeparator" w:id="0">
    <w:p w:rsidR="00000000" w:rsidRDefault="009E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36"/>
    <w:multiLevelType w:val="multilevel"/>
    <w:tmpl w:val="3CF61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5C18E0"/>
    <w:multiLevelType w:val="multilevel"/>
    <w:tmpl w:val="002E4F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F760A8"/>
    <w:multiLevelType w:val="multilevel"/>
    <w:tmpl w:val="C4DEF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E5"/>
    <w:rsid w:val="008103E5"/>
    <w:rsid w:val="009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F321"/>
  <w15:docId w15:val="{46727AF1-D798-48DF-AC0C-3A09732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936"/>
    <w:pPr>
      <w:spacing w:after="160" w:line="259" w:lineRule="auto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uiPriority w:val="99"/>
    <w:qFormat/>
    <w:locked/>
    <w:rsid w:val="00EF3C39"/>
    <w:rPr>
      <w:rFonts w:cs="Times New Roman"/>
    </w:rPr>
  </w:style>
  <w:style w:type="character" w:customStyle="1" w:styleId="FooterChar">
    <w:name w:val="Footer Char"/>
    <w:uiPriority w:val="99"/>
    <w:qFormat/>
    <w:locked/>
    <w:rsid w:val="00EF3C39"/>
    <w:rPr>
      <w:rFonts w:cs="Times New Roman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32EA7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testo">
    <w:name w:val="testo"/>
    <w:qFormat/>
    <w:rPr>
      <w:rFonts w:ascii="Arial" w:hAnsi="Arial"/>
      <w:sz w:val="28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proponente">
    <w:name w:val="proponente"/>
    <w:qFormat/>
    <w:rPr>
      <w:rFonts w:ascii="Arial" w:hAnsi="Aria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Symbol"/>
      <w:b w:val="0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F59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F5936"/>
    <w:pPr>
      <w:spacing w:after="140" w:line="276" w:lineRule="auto"/>
    </w:pPr>
  </w:style>
  <w:style w:type="paragraph" w:styleId="Elenco">
    <w:name w:val="List"/>
    <w:basedOn w:val="Corpotesto"/>
    <w:uiPriority w:val="99"/>
    <w:rsid w:val="00DF5936"/>
    <w:rPr>
      <w:rFonts w:cs="Lucida Sans"/>
    </w:rPr>
  </w:style>
  <w:style w:type="paragraph" w:styleId="Didascalia">
    <w:name w:val="caption"/>
    <w:basedOn w:val="Normale"/>
    <w:uiPriority w:val="99"/>
    <w:qFormat/>
    <w:rsid w:val="00DF59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DF5936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EF3C3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EF3C39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qFormat/>
    <w:rsid w:val="00347B0F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uiPriority w:val="99"/>
    <w:qFormat/>
    <w:rsid w:val="00347B0F"/>
    <w:pPr>
      <w:spacing w:beforeAutospacing="1" w:after="119" w:line="567" w:lineRule="atLeast"/>
    </w:pPr>
    <w:rPr>
      <w:rFonts w:ascii="Arial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6C6C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2306" w:hanging="360"/>
      <w:jc w:val="both"/>
    </w:pPr>
  </w:style>
  <w:style w:type="paragraph" w:styleId="Puntoelenco">
    <w:name w:val="List Bullet"/>
    <w:basedOn w:val="Normale"/>
    <w:qFormat/>
    <w:pPr>
      <w:ind w:left="-76"/>
      <w:jc w:val="center"/>
    </w:pPr>
    <w:rPr>
      <w:b/>
      <w:sz w:val="24"/>
      <w:szCs w:val="24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Genca Federica</dc:creator>
  <dc:description/>
  <cp:lastModifiedBy>Maria Luisa Coppola</cp:lastModifiedBy>
  <cp:revision>52</cp:revision>
  <cp:lastPrinted>2021-08-18T08:13:00Z</cp:lastPrinted>
  <dcterms:created xsi:type="dcterms:W3CDTF">2021-08-13T09:44:00Z</dcterms:created>
  <dcterms:modified xsi:type="dcterms:W3CDTF">2023-12-27T13:41:00Z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